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134FA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2E8">
        <w:rPr>
          <w:rFonts w:ascii="Times New Roman" w:hAnsi="Times New Roman" w:cs="Times New Roman"/>
          <w:sz w:val="28"/>
          <w:szCs w:val="28"/>
        </w:rPr>
        <w:t>1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5862E8" w:rsidRDefault="005862E8" w:rsidP="00134FA4">
      <w:pPr>
        <w:rPr>
          <w:rFonts w:ascii="Times New Roman" w:hAnsi="Times New Roman" w:cs="Times New Roman"/>
          <w:sz w:val="28"/>
          <w:szCs w:val="28"/>
        </w:rPr>
      </w:pPr>
      <w:r w:rsidRPr="005862E8">
        <w:rPr>
          <w:rFonts w:ascii="Times New Roman" w:hAnsi="Times New Roman" w:cs="Times New Roman"/>
          <w:sz w:val="28"/>
          <w:szCs w:val="28"/>
        </w:rPr>
        <w:br/>
        <w:t xml:space="preserve"> Куба и Чили во второй половине ХХ века. </w:t>
      </w:r>
    </w:p>
    <w:p w:rsidR="0036662A" w:rsidRPr="003B20C3" w:rsidRDefault="005862E8" w:rsidP="00134F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2E8">
        <w:rPr>
          <w:rFonts w:ascii="Times New Roman" w:hAnsi="Times New Roman" w:cs="Times New Roman"/>
          <w:sz w:val="28"/>
          <w:szCs w:val="28"/>
        </w:rPr>
        <w:t>Д/З: стр. 404-406, ответить на вопрос: в чём особенности развития стран Латинской Америки?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B20C3"/>
    <w:rsid w:val="00411649"/>
    <w:rsid w:val="004D2DC0"/>
    <w:rsid w:val="00504F80"/>
    <w:rsid w:val="005862E8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2</cp:revision>
  <dcterms:created xsi:type="dcterms:W3CDTF">2020-06-15T11:21:00Z</dcterms:created>
  <dcterms:modified xsi:type="dcterms:W3CDTF">2020-06-15T11:21:00Z</dcterms:modified>
</cp:coreProperties>
</file>