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F4" w:rsidRDefault="00236DF4" w:rsidP="004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236DF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Изучить и составить конспект. Присылать не нужно!</w:t>
      </w:r>
    </w:p>
    <w:p w:rsidR="00236DF4" w:rsidRPr="00236DF4" w:rsidRDefault="00236DF4" w:rsidP="004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</w:p>
    <w:p w:rsidR="004F33D1" w:rsidRPr="004F33D1" w:rsidRDefault="004F33D1" w:rsidP="004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труда и социальной защиты РФ от 17 ноября 2014 г. N 884н</w:t>
      </w:r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Правил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</w:t>
      </w:r>
      <w:proofErr w:type="gramEnd"/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Федерации"</w:t>
      </w:r>
    </w:p>
    <w:p w:rsidR="004F33D1" w:rsidRPr="004F33D1" w:rsidRDefault="004F33D1" w:rsidP="004F33D1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F33D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4F33D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 июня 2016 г., 13 февраля 2018 г., 28 января, 17 декабря 2019 г.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4" w:anchor="block_148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пенсии, утвержденные </w:t>
      </w:r>
      <w:hyperlink r:id="rId5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17 ноября 2014 г. N 885н</w:t>
      </w:r>
      <w:proofErr w:type="gramEnd"/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6" w:anchor="block_2106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6 статьи 21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2013 г. N 400-ФЗ "О страховых пенсиях" (Собрание законодательства Российской Федерации, 2013, N 52, ст. 6965; 2014, N 2 (поправка); </w:t>
      </w:r>
      <w:hyperlink r:id="rId7" w:anchor="block_98" w:history="1">
        <w:proofErr w:type="gramStart"/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8 статьи 9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2013 г. N 424-ФЗ "О накопительной пенсии" (Собрание законодательства Российской Федерации, 2013, N 52, ст. 6989), </w:t>
      </w:r>
      <w:hyperlink r:id="rId8" w:anchor="block_24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2 статьи 24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15 декабря 2001 г. N 166-ФЗ "О государственном пенсионном обеспечении в Российской Федерации" (Собрание законодательства Российской Федерации, 2001, N 51, ст. 4831;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2002, N 30, ст. 3033; 2003, N 27, ст. 2700; N 46, ст. 4437; 2004, N 19, ст. 1835; N 35, ст. 3607; 2006, N 48, ст. 4946; N 52, ст. 5505; 2007; N 16, ст. 1823; 2008; N 30, ст. 3612; 2009, N 29, ст. 3624; N 30, ст. 3739;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N 52, ст. 6417; 2010, N 26, ст. 3247; N 31, ст. 4196; 2011, N 1, ст. 16; N 14, ст. 1806; N 19, ст. 2711; N 27, ст. 3880; 2013, N 14, ст. 1659, 1665; N 27, ст. 3477;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2014, N 30, ст. 4217) и </w:t>
      </w:r>
      <w:hyperlink r:id="rId9" w:anchor="block_15271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подпунктом 5.2.71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Министерстве труда и социальной защиты Российской Федерации, утвержденного </w:t>
      </w:r>
      <w:hyperlink r:id="rId1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19 июня 2012 г. N 610 (Собрание законодательства Российской Федерации, 2012, N 26, ст. 3528; 2013, N 22, ст. 2809; N 36, ст. 4578; N 37, ст. 4703;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45, ст. 5822; N 46, ст. 5952; 2014, N 21, ст. 2710; N 26, ст. 3577; N 29, ст. 4160; N 32, ст. 4499; N 36, ст. 4868) приказываю:</w:t>
      </w:r>
      <w:proofErr w:type="gramEnd"/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Утвердить прилагаемые </w:t>
      </w:r>
      <w:hyperlink r:id="rId11" w:anchor="block_87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одного вида пенсии на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Федерации".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Настоящий приказ вступает в силу с 1 января 2015 года.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7"/>
        <w:gridCol w:w="3489"/>
      </w:tblGrid>
      <w:tr w:rsidR="004F33D1" w:rsidRPr="004F33D1" w:rsidTr="004F33D1">
        <w:tc>
          <w:tcPr>
            <w:tcW w:w="3300" w:type="pct"/>
            <w:shd w:val="clear" w:color="auto" w:fill="FFFFFF"/>
            <w:vAlign w:val="bottom"/>
            <w:hideMark/>
          </w:tcPr>
          <w:p w:rsidR="004F33D1" w:rsidRPr="004F33D1" w:rsidRDefault="004F33D1" w:rsidP="004F33D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F33D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F33D1" w:rsidRPr="004F33D1" w:rsidRDefault="004F33D1" w:rsidP="004F33D1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4F33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F33D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31 декабря 2014 г.</w:t>
      </w: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35498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33D1" w:rsidRPr="004F33D1" w:rsidRDefault="004F33D1" w:rsidP="004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</w:t>
      </w:r>
      <w:proofErr w:type="gramEnd"/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вида пенсии </w:t>
      </w:r>
      <w:proofErr w:type="gramStart"/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на</w:t>
      </w:r>
      <w:proofErr w:type="gramEnd"/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другой в соответствии с федеральными законами "О страховых пенсиях", "О накопительной пенсии" и "О государственном пенсионном обеспечении в Российской Федерации"</w:t>
      </w:r>
    </w:p>
    <w:p w:rsidR="004F33D1" w:rsidRPr="004F33D1" w:rsidRDefault="004F33D1" w:rsidP="004F33D1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F33D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4F33D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 июня 2016 г., 13 февраля 2018 г., 28 января, 17 декабря 2019 г.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2" w:anchor="block_100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утвержденный </w:t>
      </w:r>
      <w:hyperlink r:id="rId13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ноября 2014 г. N 958н</w:t>
      </w:r>
      <w:proofErr w:type="gramEnd"/>
    </w:p>
    <w:p w:rsidR="004F33D1" w:rsidRPr="004F33D1" w:rsidRDefault="004F33D1" w:rsidP="004F33D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Настоящие Правила определяют порядок обращения за страховой пенсией, в том числе фиксированной выплатой к страховой пенсии (с учетом повышения фиксированной выплаты к страховой пенсии), долей страховой пенсии по старости, накопительной пенсией и пенсией по государственному пенсионному обеспечению (кроме пенсии за выслугу лет федеральным государственным гражданским служащим) (далее - пенсия), рассмотрения этих обращений, определяют порядок назначения пенсии, перерасчета и корректировки размера пенсии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перехода (перевода) с одной пенсии на другую, правила проведения проверок документов, необходимых для установления пенсии, в соответствии с </w:t>
      </w:r>
      <w:hyperlink r:id="rId14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28 декабря 2013 г. N 400-ФЗ "О страховых пенсиях" (далее - Федеральный закон "О страховых пенсиях"), </w:t>
      </w:r>
      <w:hyperlink r:id="rId15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28 декабря 2013 г. N 424-ФЗ "О накопительной пенсии" (далее - Федеральный закон "О накопительной пенсии"), </w:t>
      </w:r>
      <w:hyperlink r:id="rId16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15 декабря 2001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г. N 166-ФЗ "О государственном пенсионном обеспечении в Российской Федерации" (далее - Федеральный закон "О государственном пенсионном обеспечении в Российской Федерации").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Действие настоящих Правил распространяется на граждан Российской Федерации, иностранных граждан и лиц без гражданства (далее - граждане), имеющих право на пенсию.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33D1" w:rsidRPr="004F33D1" w:rsidRDefault="004F33D1" w:rsidP="004F33D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4F33D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Порядок обращения за пенсией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33D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Граждане обращаются за назначением пенсии, перерасчетом ее размера, переводом с одной пенсии на другую (далее - установление пенсии) путем подачи заявления о назначении пенсии, заявления о перерасчете размера пенсии, заявления о переводе с одной пенсии на другую в территориальный орган Пенсионного фонда Российской Федерации лично или через представителя, обращающегося за установлением пенсии от его имени (далее - заявитель).</w:t>
      </w:r>
      <w:proofErr w:type="gramEnd"/>
    </w:p>
    <w:p w:rsidR="004F33D1" w:rsidRPr="004F33D1" w:rsidRDefault="004F33D1" w:rsidP="004F33D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4 изменен с 4 марта 2019 г. - </w:t>
      </w:r>
      <w:hyperlink r:id="rId17" w:anchor="block_1011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7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Граждане подают заявление о назначении пенсии непосредственно в территориальный орган Пенсионного фонда Российской Федерации по своему выбору.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 о назначении пенсии может быть направлено в территориальный орган Пенсионного фонда Российской Федерации по почте.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 о назначении пенсии может быть подано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по месту жительства гражданина, в том числе с учетом места подачи указанного заявления отдельными категориями граждан в соответствии с </w:t>
      </w:r>
      <w:hyperlink r:id="rId19" w:anchor="block_1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пунктами 9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0" w:anchor="block_15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12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 случае, если между территориальным органом Пенсионного фонда Российской Федерации и многофункциональным центром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предоставления государственных и муниципальных услуг заключено соглашение о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взаимодействии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подача указанного заявления предусмотрена перечнем государственных и муниципальных услуг, предоставляемых в многофункциональном центре, установленным соглашением.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 о назначении пенсии может быть представлено в территориальный орган Пенсионного фонда Российской Федерации в форме электронного документа, порядок оформления которого установлен законодательством Российской Федерации (далее - в форме электронного документа), и которое передается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 и информационную систему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Пенсионного фонда Российской Федерации "Личный кабинет застрахованного лица".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Граждане, проживающие в районах Крайнего Севера и приравненных к ним местностях, в целях установления повышения фиксированной выплаты к страховой пенсии по старости, фиксированной выплаты к страховой пенсии по инвалидности, фиксированной выплаты к страховой пенсии по случаю потери кормильца, а также дополнительного увеличения повышений фиксированной выплаты к указанным страховым пенсиям, предусмотренных </w:t>
      </w:r>
      <w:hyperlink r:id="rId21" w:anchor="block_179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частями 9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2" w:anchor="block_171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10 статьи 17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страховых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пенсиях", граждане, проживающие в сельской местности, в целях установления повышения фиксированной выплаты к страховой пенсии по старости, повышения фиксированной выплаты к страховой пенсии по инвалидности, предусмотренного </w:t>
      </w:r>
      <w:hyperlink r:id="rId23" w:anchor="block_1714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14 статьи 17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страховых пенсиях", граждане, проживающие в районах Крайнего Севера и приравненных к ним местностях, в районах с тяжелыми климатическими условиями, требующими дополнительных материальных и физиологических затрат проживающих там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граждан, в целях увеличения размера пенсии по государственному пенсионному обеспечению в связи с проживанием в указанных районах (местностях) в случаях, предусмотренных </w:t>
      </w:r>
      <w:hyperlink r:id="rId24" w:anchor="block_1505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5 статьи 15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5" w:anchor="block_1603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 статьи 16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6" w:anchor="block_1704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4 статьи 17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7" w:anchor="block_17170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7 статьи 17.1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8" w:anchor="block_1725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5 статьи 17.2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9" w:anchor="block_180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2 статьи 18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государственном пенсионном обеспечении в Российской Федерации", заявление о назначении пенсии подают в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территориальный орган Пенсионного фонда Российской Федерации по месту жительства (пребывания, фактического проживания) в указанных районах (местностях).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Утратил силу с 4 марта 2019 г. - </w:t>
      </w:r>
      <w:hyperlink r:id="rId30" w:anchor="block_101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8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Утратил силу с 4 марта 2019 г. - </w:t>
      </w:r>
      <w:hyperlink r:id="rId32" w:anchor="block_101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9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Утратил силу с 4 марта 2019 г. - </w:t>
      </w:r>
      <w:hyperlink r:id="rId34" w:anchor="block_101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Утратил силу с 4 марта 2019 г. - </w:t>
      </w:r>
      <w:hyperlink r:id="rId36" w:anchor="block_101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anchor="block_11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9 изменен с 4 марта 2019 г. - </w:t>
      </w:r>
      <w:hyperlink r:id="rId38" w:anchor="block_1013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block_1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Граждане, осужденные к лишению свободы, обращаются за установлением пенсии в территориальный орган Пенсионного фонда Российской Федерации по месту нахождения исправительного учреждения, в котором они отбывают наказание, через администрацию этого учреждения.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Заявления и документы, представленные гражданами, осужденными к лишению свободы, подлежат передаче администрацией исправительного учреждения в территориальный орган Пенсионного фонда Российской Федерации не позднее пяти рабочих дней со дня их представления в администрацию исправительного учреждения.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Взаимодействие территориальных органов Пенсионного фонда Российской Федерации и исправительных учреждений осуществляется с использованием бумажного документооборота. При наличии технической возможности такое взаимодействие может осуществляться в электронном виде на основании соглашения об электронном документообороте с использованием автоматизированных систем посредством направления электронной версии документов, заверенных усиленной квалифицированной электронной подписью.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тех случаях, когда лицо, которому устанавливается пенсия, является несовершеннолетним или недееспособным, за установлением пенсии от имени такого лица обращается его законный представитель.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Утратил силу с 4 марта 2019 г. - </w:t>
      </w:r>
      <w:hyperlink r:id="rId40" w:anchor="block_1014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block_14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Заявление о назначении пенсии несовершеннолетнему или недееспособному лицу, законным представителем которого является соответствующее учреждение, в котором несовершеннолетнее или недееспособное лицо пребывает, подается администрацией учреждения в территориальный орган Пенсионного фонда Российской Федерации по месту нахождения этого учреждения.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Несовершеннолетний, достигший возраста 14 лет, вправе обратиться за установлением пенсии самостоятельно в соответствии с настоящими Правилами.</w:t>
      </w:r>
    </w:p>
    <w:p w:rsidR="004F33D1" w:rsidRPr="004F33D1" w:rsidRDefault="004F33D1" w:rsidP="004F33D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14 изменен с 4 марта 2019 г. - </w:t>
      </w:r>
      <w:hyperlink r:id="rId42" w:anchor="block_1015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anchor="block_17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Работодатель вправе представить заявление об установлении пенсии гражданина, состоящего в трудовых отношениях с ним, с его письменного согласия.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Работодатель представляет заявление о назначении пенсии гражданина, состоящего в трудовых отношениях с ним, в территориальный орган Пенсионного фонда Российской Федерации по выбору гражданина либо по месту нахождения работодателя.</w:t>
      </w:r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Утратил силу с 4 марта 2019 г. - </w:t>
      </w:r>
      <w:hyperlink r:id="rId44" w:anchor="block_1016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28 января 2019 г. N 43Н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block_18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Граждане, формирующие средства пенсионных накоплений в негосударственном пенсионном фонде, подают заявление о назначении накопительной пенсии в соответствующий негосударственный пенсионный фонд.</w:t>
      </w:r>
    </w:p>
    <w:p w:rsidR="004F33D1" w:rsidRPr="004F33D1" w:rsidRDefault="004F33D1" w:rsidP="004F33D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3 февраля 2020 г. - </w:t>
      </w:r>
      <w:hyperlink r:id="rId46" w:anchor="block_1002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17 декабря 2019 г. N 799Н</w:t>
      </w:r>
    </w:p>
    <w:p w:rsidR="004F33D1" w:rsidRPr="004F33D1" w:rsidRDefault="004F33D1" w:rsidP="004F33D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2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F33D1" w:rsidRPr="004F33D1" w:rsidRDefault="004F33D1" w:rsidP="004F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17.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Граждане, которым пенсии установлены в соответствии с </w:t>
      </w:r>
      <w:hyperlink r:id="rId48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Законом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от 12 февраля 1993 г. N 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в органах принудительного исполнения Российской Федерации, и их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семей" (Ведомости Съезда народных депутатов Российской Федерации и Верховного Совета Российской Федерации, 1993, N 9, ст. 328; Собрание законодательства Российской Федерации, 1995, N 49, ст. 4693; 1996, N 1, ст. 4; 1997, N 51, ст. 5719; 1998, N 30, ст. 3613; 1999, N 23, ст. 2813; 2000, N 50, ст. 4864;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2001, N 17, ст. 1646; 2002, N 2, ст. 129; N 10, ст. 965; N 22, ст. 2029; N 24, ст. 2254; N 27, ст. 2620; N 30, ст. 3033; 2003, N 2, ст. 154; N 27, ст. 2700; 2004, N 27, ст. 2711, N 35, ст. 3607; 2005, N 1, ст. 25;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2006, N 6, ст. 637; N 52, ст. 5505; 2007, N 1, ст. 35; N 49, ст. 6072; N 50, ст. 6232; 2008, N 7, ст. 543; N 19, ст. 2098; N 30, ст. 3612; 2009, N 18, ст. 2150; N 30, ст. 3739; N 45, ст. 5271; 2010, N 26, ст. 3247;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50, ст. 6612; 2011, N 27, ст. 3880; N 46, ст. 6407; 2012, N 47, ст. 6392; 2013, N 23, ст. 2885; N 27, ст. 3477, N 52, ст. 6962; 2014, N 23, ст. 2930; N 30, ст. 4217, N 45, ст. 6152; N 49, ст. 6906; 2015, N 51, ст. 7238;</w:t>
      </w:r>
      <w:proofErr w:type="gramEnd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2016, N 27, ст. 4160, 4238; N 52, ст. 7479; 2017, N 9, ст. 1280; N 15, ст. 2138; N 18, ст. 2672; N 27, ст. 3951; N 50, ст. 7536; N 51, ст. 7857, N 52, ст. 7924; </w:t>
      </w:r>
      <w:proofErr w:type="gramStart"/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2019, N 18, ст. 2190), при возникновении права на пенсии в соответствии с федеральными законами </w:t>
      </w:r>
      <w:hyperlink r:id="rId49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"О страховых пенсиях"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0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"О накопительной пенсии"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1" w:history="1">
        <w:r w:rsidRPr="004F33D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"О государственном пенсионном обеспечении в Российской Федерации"</w:t>
        </w:r>
      </w:hyperlink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обращаются за ними в порядке, предусмотренном настоящими Правилами.</w:t>
      </w:r>
      <w:proofErr w:type="gramEnd"/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Граждане могут обращаться за пенсией в любое время после возникновения права на нее без ограничения каким-либо сроком.</w:t>
      </w:r>
    </w:p>
    <w:p w:rsidR="004F33D1" w:rsidRPr="004F33D1" w:rsidRDefault="004F33D1" w:rsidP="004F33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33D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Заявление о назначении пенсии по старости может быть принято территориальным органом Пенсионного фонда Российской Федерации и до наступления пенсионного возраста гражданина, но не ранее чем за месяц до достижения соответствующего возраста.</w:t>
      </w:r>
    </w:p>
    <w:p w:rsidR="000F0C55" w:rsidRDefault="000F0C55"/>
    <w:p w:rsidR="004F33D1" w:rsidRPr="004F33D1" w:rsidRDefault="004F33D1" w:rsidP="004F33D1">
      <w:pPr>
        <w:pStyle w:val="1"/>
        <w:shd w:val="clear" w:color="auto" w:fill="FFFFFF"/>
        <w:spacing w:before="300" w:after="300"/>
        <w:jc w:val="center"/>
        <w:rPr>
          <w:rFonts w:ascii="Times New Roman" w:hAnsi="Times New Roman" w:cs="Times New Roman"/>
          <w:bCs w:val="0"/>
          <w:color w:val="333333"/>
          <w:sz w:val="32"/>
          <w:szCs w:val="32"/>
          <w:u w:val="single"/>
        </w:rPr>
      </w:pPr>
      <w:r w:rsidRPr="004F33D1">
        <w:rPr>
          <w:rFonts w:ascii="Times New Roman" w:hAnsi="Times New Roman" w:cs="Times New Roman"/>
          <w:bCs w:val="0"/>
          <w:color w:val="333333"/>
          <w:sz w:val="32"/>
          <w:szCs w:val="32"/>
          <w:u w:val="single"/>
        </w:rPr>
        <w:t>Как назначаются пенсии по возрасту в 2020 году</w:t>
      </w:r>
    </w:p>
    <w:p w:rsidR="004F33D1" w:rsidRPr="004F33D1" w:rsidRDefault="004F33D1" w:rsidP="004F33D1">
      <w:pPr>
        <w:pStyle w:val="a4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 xml:space="preserve">В нынешнем году продолжает действовать переходный период по увеличению возраста, дающего право на получение пенсии по старости. Переход к новым параметрам происходит постепенно. Несмотря на </w:t>
      </w:r>
      <w:proofErr w:type="gramStart"/>
      <w:r w:rsidRPr="004F33D1">
        <w:rPr>
          <w:color w:val="333333"/>
          <w:sz w:val="28"/>
          <w:szCs w:val="28"/>
        </w:rPr>
        <w:t>то</w:t>
      </w:r>
      <w:proofErr w:type="gramEnd"/>
      <w:r w:rsidRPr="004F33D1">
        <w:rPr>
          <w:color w:val="333333"/>
          <w:sz w:val="28"/>
          <w:szCs w:val="28"/>
        </w:rPr>
        <w:t xml:space="preserve"> что с 2020-го пенсионный возраст вырос еще на год, а общее увеличение составило уже два года, пенсии, как и в прошлом году, назначаются на шесть месяцев позже прежнего пенсионного возраста: в 55,5 лет женщинам и в 60,5 лет мужчинам.</w:t>
      </w:r>
    </w:p>
    <w:p w:rsidR="004F33D1" w:rsidRPr="004F33D1" w:rsidRDefault="004F33D1" w:rsidP="004F33D1">
      <w:pPr>
        <w:pStyle w:val="a4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Такой шаг обеспечивает специальная льгота, которая распространяется на всех, кто должен был стать пенсионером в 2019 году по условиям прежнего законодательства. Это женщины 1964 года рождения и мужчины 1959 года рождения. За счет льготы они выходили на пенсию во второй половине 2019-го и продолжают выходить в первой половине 2020-го – в зависимости от того, на какое полугодие приходится их день рождения.</w:t>
      </w:r>
    </w:p>
    <w:p w:rsidR="004F33D1" w:rsidRDefault="004F33D1" w:rsidP="004F33D1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6818290" cy="6819900"/>
            <wp:effectExtent l="0" t="0" r="0" b="0"/>
            <wp:docPr id="1" name="Рисунок 1" descr="Переходный период по повышению пенсион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ный период по повышению пенсион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518" cy="682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Льгота также действует для тех, кто в соответствии с прежними условиями должен был выйти на пенсию в этом году: женщин 1965 года рождения и мужчин 1960 года рождения. За счет льготы назначение пенсии им перенесено на полтора года – на вторую половину 2021-го, когда пенсионный возраст будет повышен уже на три года, и первую половину 2022-го, когда пенсионный возраст станет выше на четыре года.</w:t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Стоит отметить, что для многих россиян назначение пенсии осталось в прежних возрастных границах. В первую очередь это относится к людям, имеющим льготы по досрочному выходу на пенсию. Например, шахтерам, горнякам, спасателям, водителям общественного транспорта и другим работникам, занятым в тяжелых, опасных и вредных условиях труда. Работодатели уплачивают за них дополнительные взносы на пенсионное страхование. Большинство таких работников, как и раньше, выходят на пенсию в 50 или 55 лет в зависимости от пола.</w:t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lastRenderedPageBreak/>
        <w:t xml:space="preserve">Досрочный выход на пенсию также сохранился у педагогов, врачей и представителей некоторых творческих профессий, которым выплаты назначаются не по достижении пенсионного возраста, а после приобретения </w:t>
      </w:r>
      <w:proofErr w:type="spellStart"/>
      <w:r w:rsidRPr="004F33D1">
        <w:rPr>
          <w:color w:val="333333"/>
          <w:sz w:val="28"/>
          <w:szCs w:val="28"/>
        </w:rPr>
        <w:t>необходимои</w:t>
      </w:r>
      <w:proofErr w:type="spellEnd"/>
      <w:r w:rsidRPr="004F33D1">
        <w:rPr>
          <w:color w:val="333333"/>
          <w:sz w:val="28"/>
          <w:szCs w:val="28"/>
        </w:rPr>
        <w:t>̆ выслуги лет. Пенсия при этом назначается с учетом переходного периода по повышению пенсионного возраста, который начинает действовать с момента приобретения выслуги лет по профессии. Например, школьный учитель, выработавший в апреле 2020-го необходимый педагогический стаж, сможет выйти на пенсию в соответствии с переходным периодом через полтора года, в октябре 2021-го.</w:t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Жители северных областей выходят на пенсию на 5 лет раньше общеустановленного пенсионного возраста, но с учетом постепенного повышения возраста. Минимальный северный стаж для досрочного назначения пенсии не поменялся и по-прежнему составляет 15 календарных лет в районах Крайнего Севера и 20 календарных лет в приравненных местностях. Требования по общему страховому стажу аналогично сохранились и составляют 20 лет для женщин и 25 лет для мужчин.</w:t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Как и раньше, для получения пенсии должны быть выработаны минимальные пенсионные коэффициенты и стаж. В этом году они составляют 11 лет и 18,6 коэффициента. Всего за год по общим основаниям, без применения специальных льгот можно приобрести один год стажа и 9,57 коэффициента.</w:t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Повышение пенсионного возраста не распространяется на пенсии по инвалидности. Они сохраняются в полном объеме и назначаются тем, кто потерял трудоспособность, независимо от возраста при установлении группы инвалидности.</w:t>
      </w:r>
    </w:p>
    <w:p w:rsidR="004F33D1" w:rsidRPr="004F33D1" w:rsidRDefault="004F33D1" w:rsidP="004F33D1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4F33D1">
        <w:rPr>
          <w:color w:val="333333"/>
          <w:sz w:val="28"/>
          <w:szCs w:val="28"/>
        </w:rPr>
        <w:t>За 11 месяцев 2019 года Пенсионный фонд назначил 1,4 </w:t>
      </w:r>
      <w:proofErr w:type="spellStart"/>
      <w:proofErr w:type="gramStart"/>
      <w:r w:rsidRPr="004F33D1">
        <w:rPr>
          <w:color w:val="333333"/>
          <w:sz w:val="28"/>
          <w:szCs w:val="28"/>
        </w:rPr>
        <w:t>млн</w:t>
      </w:r>
      <w:proofErr w:type="spellEnd"/>
      <w:proofErr w:type="gramEnd"/>
      <w:r w:rsidRPr="004F33D1">
        <w:rPr>
          <w:color w:val="333333"/>
          <w:sz w:val="28"/>
          <w:szCs w:val="28"/>
        </w:rPr>
        <w:t xml:space="preserve"> пенсий по обязательному пенсионному страхованию и государственному пенсионному обеспечению. Большинство назначений, как и раньше, составили страховые пенсии по старости.</w:t>
      </w:r>
    </w:p>
    <w:p w:rsidR="004F33D1" w:rsidRPr="004F33D1" w:rsidRDefault="004F33D1" w:rsidP="004F33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33D1" w:rsidRPr="004F33D1" w:rsidSect="004F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3D1"/>
    <w:rsid w:val="000F0C55"/>
    <w:rsid w:val="00236DF4"/>
    <w:rsid w:val="004F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5"/>
  </w:style>
  <w:style w:type="paragraph" w:styleId="1">
    <w:name w:val="heading 1"/>
    <w:basedOn w:val="a"/>
    <w:next w:val="a"/>
    <w:link w:val="10"/>
    <w:uiPriority w:val="9"/>
    <w:qFormat/>
    <w:rsid w:val="004F3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F33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3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33D1"/>
    <w:rPr>
      <w:color w:val="0000FF"/>
      <w:u w:val="single"/>
    </w:rPr>
  </w:style>
  <w:style w:type="paragraph" w:customStyle="1" w:styleId="s1">
    <w:name w:val="s_1"/>
    <w:basedOn w:val="a"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3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F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7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5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6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46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9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843562/" TargetMode="External"/><Relationship Id="rId18" Type="http://schemas.openxmlformats.org/officeDocument/2006/relationships/hyperlink" Target="https://base.garant.ru/77677364/54512e6e5997d23accf128d98f1d71b9/" TargetMode="External"/><Relationship Id="rId26" Type="http://schemas.openxmlformats.org/officeDocument/2006/relationships/hyperlink" Target="https://base.garant.ru/12125128/a7b26eafd8fd23d18ca4410ac5359e0e/" TargetMode="External"/><Relationship Id="rId39" Type="http://schemas.openxmlformats.org/officeDocument/2006/relationships/hyperlink" Target="https://base.garant.ru/77677364/54512e6e5997d23accf128d98f1d71b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552688/a7b26eafd8fd23d18ca4410ac5359e0e/" TargetMode="External"/><Relationship Id="rId34" Type="http://schemas.openxmlformats.org/officeDocument/2006/relationships/hyperlink" Target="https://base.garant.ru/72179486/53f89421bbdaf741eb2d1ecc4ddb4c33/" TargetMode="External"/><Relationship Id="rId42" Type="http://schemas.openxmlformats.org/officeDocument/2006/relationships/hyperlink" Target="https://base.garant.ru/72179486/53f89421bbdaf741eb2d1ecc4ddb4c33/" TargetMode="External"/><Relationship Id="rId47" Type="http://schemas.openxmlformats.org/officeDocument/2006/relationships/hyperlink" Target="https://base.garant.ru/77693022/9b26a68a4e5b2b3c9ba0934f60a6219e/" TargetMode="External"/><Relationship Id="rId50" Type="http://schemas.openxmlformats.org/officeDocument/2006/relationships/hyperlink" Target="https://base.garant.ru/70552604/" TargetMode="External"/><Relationship Id="rId7" Type="http://schemas.openxmlformats.org/officeDocument/2006/relationships/hyperlink" Target="https://base.garant.ru/70552604/493aff9450b0b89b29b367693300b74a/" TargetMode="External"/><Relationship Id="rId12" Type="http://schemas.openxmlformats.org/officeDocument/2006/relationships/hyperlink" Target="https://base.garant.ru/70843562/53f89421bbdaf741eb2d1ecc4ddb4c33/" TargetMode="External"/><Relationship Id="rId17" Type="http://schemas.openxmlformats.org/officeDocument/2006/relationships/hyperlink" Target="https://base.garant.ru/72179486/53f89421bbdaf741eb2d1ecc4ddb4c33/" TargetMode="External"/><Relationship Id="rId25" Type="http://schemas.openxmlformats.org/officeDocument/2006/relationships/hyperlink" Target="https://base.garant.ru/12125128/7a58987b486424ad79b62aa427dab1df/" TargetMode="External"/><Relationship Id="rId33" Type="http://schemas.openxmlformats.org/officeDocument/2006/relationships/hyperlink" Target="https://base.garant.ru/77677364/54512e6e5997d23accf128d98f1d71b9/" TargetMode="External"/><Relationship Id="rId38" Type="http://schemas.openxmlformats.org/officeDocument/2006/relationships/hyperlink" Target="https://base.garant.ru/72179486/53f89421bbdaf741eb2d1ecc4ddb4c33/" TargetMode="External"/><Relationship Id="rId46" Type="http://schemas.openxmlformats.org/officeDocument/2006/relationships/hyperlink" Target="https://base.garant.ru/73448477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2125128/" TargetMode="External"/><Relationship Id="rId20" Type="http://schemas.openxmlformats.org/officeDocument/2006/relationships/hyperlink" Target="https://base.garant.ru/70843566/d528bf3333b0ea7010c4438a0a8aa7fb/" TargetMode="External"/><Relationship Id="rId29" Type="http://schemas.openxmlformats.org/officeDocument/2006/relationships/hyperlink" Target="https://base.garant.ru/12125128/a573badcfa856325a7f6c5597efaaedf/" TargetMode="External"/><Relationship Id="rId41" Type="http://schemas.openxmlformats.org/officeDocument/2006/relationships/hyperlink" Target="https://base.garant.ru/77677364/54512e6e5997d23accf128d98f1d71b9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552688/6a3eaa02cea3fe2db1e9b04e275d1439/" TargetMode="External"/><Relationship Id="rId11" Type="http://schemas.openxmlformats.org/officeDocument/2006/relationships/hyperlink" Target="https://base.garant.ru/70843566/d528bf3333b0ea7010c4438a0a8aa7fb/" TargetMode="External"/><Relationship Id="rId24" Type="http://schemas.openxmlformats.org/officeDocument/2006/relationships/hyperlink" Target="https://base.garant.ru/12125128/36bfb7176e3e8bfebe718035887e4efc/" TargetMode="External"/><Relationship Id="rId32" Type="http://schemas.openxmlformats.org/officeDocument/2006/relationships/hyperlink" Target="https://base.garant.ru/72179486/53f89421bbdaf741eb2d1ecc4ddb4c33/" TargetMode="External"/><Relationship Id="rId37" Type="http://schemas.openxmlformats.org/officeDocument/2006/relationships/hyperlink" Target="https://base.garant.ru/77677364/54512e6e5997d23accf128d98f1d71b9/" TargetMode="External"/><Relationship Id="rId40" Type="http://schemas.openxmlformats.org/officeDocument/2006/relationships/hyperlink" Target="https://base.garant.ru/72179486/53f89421bbdaf741eb2d1ecc4ddb4c33/" TargetMode="External"/><Relationship Id="rId45" Type="http://schemas.openxmlformats.org/officeDocument/2006/relationships/hyperlink" Target="https://base.garant.ru/77677364/54512e6e5997d23accf128d98f1d71b9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ase.garant.ru/70843564/" TargetMode="External"/><Relationship Id="rId15" Type="http://schemas.openxmlformats.org/officeDocument/2006/relationships/hyperlink" Target="https://base.garant.ru/70552604/" TargetMode="External"/><Relationship Id="rId23" Type="http://schemas.openxmlformats.org/officeDocument/2006/relationships/hyperlink" Target="https://base.garant.ru/70552688/a7b26eafd8fd23d18ca4410ac5359e0e/" TargetMode="External"/><Relationship Id="rId28" Type="http://schemas.openxmlformats.org/officeDocument/2006/relationships/hyperlink" Target="https://base.garant.ru/12125128/2a25888d00a675bffc9a0311e7651563/" TargetMode="External"/><Relationship Id="rId36" Type="http://schemas.openxmlformats.org/officeDocument/2006/relationships/hyperlink" Target="https://base.garant.ru/72179486/53f89421bbdaf741eb2d1ecc4ddb4c33/" TargetMode="External"/><Relationship Id="rId49" Type="http://schemas.openxmlformats.org/officeDocument/2006/relationships/hyperlink" Target="https://base.garant.ru/70552688/" TargetMode="External"/><Relationship Id="rId10" Type="http://schemas.openxmlformats.org/officeDocument/2006/relationships/hyperlink" Target="https://base.garant.ru/70192438/" TargetMode="External"/><Relationship Id="rId19" Type="http://schemas.openxmlformats.org/officeDocument/2006/relationships/hyperlink" Target="https://base.garant.ru/70843566/d528bf3333b0ea7010c4438a0a8aa7fb/" TargetMode="External"/><Relationship Id="rId31" Type="http://schemas.openxmlformats.org/officeDocument/2006/relationships/hyperlink" Target="https://base.garant.ru/77677364/54512e6e5997d23accf128d98f1d71b9/" TargetMode="External"/><Relationship Id="rId44" Type="http://schemas.openxmlformats.org/officeDocument/2006/relationships/hyperlink" Target="https://base.garant.ru/72179486/53f89421bbdaf741eb2d1ecc4ddb4c33/" TargetMode="External"/><Relationship Id="rId52" Type="http://schemas.openxmlformats.org/officeDocument/2006/relationships/image" Target="media/image1.png"/><Relationship Id="rId4" Type="http://schemas.openxmlformats.org/officeDocument/2006/relationships/hyperlink" Target="https://base.garant.ru/70843564/bee976e0e5b083e94e25d2b1052ca0ae/" TargetMode="External"/><Relationship Id="rId9" Type="http://schemas.openxmlformats.org/officeDocument/2006/relationships/hyperlink" Target="https://base.garant.ru/70192438/742dc84561ef2c86a147c816b6d9e3c3/" TargetMode="External"/><Relationship Id="rId14" Type="http://schemas.openxmlformats.org/officeDocument/2006/relationships/hyperlink" Target="https://base.garant.ru/70552688/" TargetMode="External"/><Relationship Id="rId22" Type="http://schemas.openxmlformats.org/officeDocument/2006/relationships/hyperlink" Target="https://base.garant.ru/70552688/a7b26eafd8fd23d18ca4410ac5359e0e/" TargetMode="External"/><Relationship Id="rId27" Type="http://schemas.openxmlformats.org/officeDocument/2006/relationships/hyperlink" Target="https://base.garant.ru/12125128/8b59bb3349a6ae4b70d0db73241a6751/" TargetMode="External"/><Relationship Id="rId30" Type="http://schemas.openxmlformats.org/officeDocument/2006/relationships/hyperlink" Target="https://base.garant.ru/72179486/53f89421bbdaf741eb2d1ecc4ddb4c33/" TargetMode="External"/><Relationship Id="rId35" Type="http://schemas.openxmlformats.org/officeDocument/2006/relationships/hyperlink" Target="https://base.garant.ru/77677364/54512e6e5997d23accf128d98f1d71b9/" TargetMode="External"/><Relationship Id="rId43" Type="http://schemas.openxmlformats.org/officeDocument/2006/relationships/hyperlink" Target="https://base.garant.ru/77677364/54512e6e5997d23accf128d98f1d71b9/" TargetMode="External"/><Relationship Id="rId48" Type="http://schemas.openxmlformats.org/officeDocument/2006/relationships/hyperlink" Target="https://base.garant.ru/100257/" TargetMode="External"/><Relationship Id="rId8" Type="http://schemas.openxmlformats.org/officeDocument/2006/relationships/hyperlink" Target="https://base.garant.ru/12125128/7b14d2c2dfc862f67bd2c3471bf87b3f/" TargetMode="External"/><Relationship Id="rId51" Type="http://schemas.openxmlformats.org/officeDocument/2006/relationships/hyperlink" Target="https://base.garant.ru/12125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2020-04-28T10:19:00Z</dcterms:created>
  <dcterms:modified xsi:type="dcterms:W3CDTF">2020-04-28T10:31:00Z</dcterms:modified>
</cp:coreProperties>
</file>