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1E" w:rsidRPr="00BD371E" w:rsidRDefault="00BD371E" w:rsidP="00BD37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76B57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bookmarkEnd w:id="0"/>
      <w:r w:rsidRPr="00BD371E">
        <w:rPr>
          <w:rFonts w:ascii="Times New Roman" w:hAnsi="Times New Roman" w:cs="Times New Roman"/>
          <w:sz w:val="28"/>
          <w:szCs w:val="28"/>
        </w:rPr>
        <w:t>: «</w:t>
      </w:r>
      <w:r w:rsidRPr="00BD371E">
        <w:rPr>
          <w:rFonts w:ascii="Times New Roman" w:hAnsi="Times New Roman" w:cs="Times New Roman"/>
          <w:sz w:val="28"/>
          <w:szCs w:val="28"/>
        </w:rPr>
        <w:t>Осложненное простое предложение.</w:t>
      </w:r>
    </w:p>
    <w:p w:rsidR="00BD371E" w:rsidRPr="00BD371E" w:rsidRDefault="00BD371E" w:rsidP="00BD371E">
      <w:pPr>
        <w:rPr>
          <w:rFonts w:ascii="Times New Roman" w:hAnsi="Times New Roman" w:cs="Times New Roman"/>
          <w:sz w:val="28"/>
          <w:szCs w:val="28"/>
        </w:rPr>
      </w:pPr>
      <w:r w:rsidRPr="00BD371E">
        <w:rPr>
          <w:rFonts w:ascii="Times New Roman" w:hAnsi="Times New Roman" w:cs="Times New Roman"/>
          <w:sz w:val="28"/>
          <w:szCs w:val="28"/>
        </w:rPr>
        <w:t>Предложения с однородными членами и знаки препинания в них.</w:t>
      </w:r>
    </w:p>
    <w:p w:rsidR="00BD371E" w:rsidRPr="00BD371E" w:rsidRDefault="00BD371E" w:rsidP="00BD371E">
      <w:pPr>
        <w:rPr>
          <w:rFonts w:ascii="Times New Roman" w:hAnsi="Times New Roman" w:cs="Times New Roman"/>
          <w:sz w:val="28"/>
          <w:szCs w:val="28"/>
        </w:rPr>
      </w:pPr>
      <w:r w:rsidRPr="00BD371E">
        <w:rPr>
          <w:rFonts w:ascii="Times New Roman" w:hAnsi="Times New Roman" w:cs="Times New Roman"/>
          <w:sz w:val="28"/>
          <w:szCs w:val="28"/>
        </w:rPr>
        <w:t>Однородные и неоднородные определения.</w:t>
      </w:r>
    </w:p>
    <w:p w:rsidR="00EE28E2" w:rsidRPr="00BD371E" w:rsidRDefault="00BD371E" w:rsidP="00BD371E">
      <w:pPr>
        <w:rPr>
          <w:rFonts w:ascii="Times New Roman" w:hAnsi="Times New Roman" w:cs="Times New Roman"/>
          <w:sz w:val="28"/>
          <w:szCs w:val="28"/>
        </w:rPr>
      </w:pPr>
      <w:r w:rsidRPr="00BD371E">
        <w:rPr>
          <w:rFonts w:ascii="Times New Roman" w:hAnsi="Times New Roman" w:cs="Times New Roman"/>
          <w:sz w:val="28"/>
          <w:szCs w:val="28"/>
        </w:rPr>
        <w:t>Предложения с обособленными и уточняющими членами.Пр.з.Обособление определений. Обособление дополнений. Обособление обстоятельств. Сравнительный оборот</w:t>
      </w:r>
      <w:r w:rsidRPr="00BD371E">
        <w:rPr>
          <w:rFonts w:ascii="Times New Roman" w:hAnsi="Times New Roman" w:cs="Times New Roman"/>
          <w:sz w:val="28"/>
          <w:szCs w:val="28"/>
        </w:rPr>
        <w:t>»</w:t>
      </w:r>
      <w:r w:rsidRPr="00BD371E">
        <w:rPr>
          <w:rFonts w:ascii="Times New Roman" w:hAnsi="Times New Roman" w:cs="Times New Roman"/>
          <w:sz w:val="28"/>
          <w:szCs w:val="28"/>
        </w:rPr>
        <w:t>.</w:t>
      </w:r>
    </w:p>
    <w:p w:rsidR="00BD371E" w:rsidRDefault="00BD371E" w:rsidP="00BD371E">
      <w:pPr>
        <w:rPr>
          <w:rFonts w:ascii="Times New Roman" w:hAnsi="Times New Roman" w:cs="Times New Roman"/>
          <w:sz w:val="28"/>
          <w:szCs w:val="28"/>
        </w:rPr>
      </w:pPr>
      <w:r w:rsidRPr="00D76B57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BD3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прочитать материал учебника Русский язык (СПО) по ред.Герасименко стр.292-310. </w:t>
      </w:r>
      <w:r w:rsidR="00D76B57">
        <w:rPr>
          <w:rFonts w:ascii="Times New Roman" w:hAnsi="Times New Roman" w:cs="Times New Roman"/>
          <w:sz w:val="28"/>
          <w:szCs w:val="28"/>
        </w:rPr>
        <w:t>На основании данного материала заполнить таблицу в тетради.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99B" w:rsidRDefault="00EC199B" w:rsidP="00D76B57">
      <w:pPr>
        <w:shd w:val="clear" w:color="auto" w:fill="FBFBFB"/>
        <w:spacing w:after="300" w:line="36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C199B"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  <w:lang w:eastAsia="ru-RU"/>
        </w:rPr>
        <w:t>Простое осложненное предложение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4"/>
        <w:gridCol w:w="2283"/>
        <w:gridCol w:w="2280"/>
        <w:gridCol w:w="2198"/>
      </w:tblGrid>
      <w:tr w:rsidR="00EC199B" w:rsidRPr="00D76B57" w:rsidTr="00D76B57">
        <w:tc>
          <w:tcPr>
            <w:tcW w:w="2584" w:type="dxa"/>
          </w:tcPr>
          <w:p w:rsidR="00EC199B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D76B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Чем осложнено</w:t>
            </w:r>
          </w:p>
          <w:p w:rsidR="00D76B57" w:rsidRPr="00D76B57" w:rsidRDefault="00D76B57" w:rsidP="00EC199B">
            <w:pPr>
              <w:spacing w:after="300" w:line="36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Предложение.</w:t>
            </w:r>
          </w:p>
        </w:tc>
        <w:tc>
          <w:tcPr>
            <w:tcW w:w="2283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D76B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Дать определение п</w:t>
            </w:r>
            <w:r w:rsidR="00D76B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о</w:t>
            </w:r>
            <w:r w:rsidRPr="00D76B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нятию.Чем может быть выражено в предложении</w:t>
            </w:r>
            <w:r w:rsidR="00D76B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val="en-US" w:eastAsia="ru-RU"/>
              </w:rPr>
              <w:t>?</w:t>
            </w:r>
          </w:p>
        </w:tc>
        <w:tc>
          <w:tcPr>
            <w:tcW w:w="2280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D76B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Как обособляется (выделяется знаками препинания)</w:t>
            </w:r>
            <w:r w:rsidR="00D76B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val="en-US" w:eastAsia="ru-RU"/>
              </w:rPr>
              <w:t>?</w:t>
            </w:r>
          </w:p>
        </w:tc>
        <w:tc>
          <w:tcPr>
            <w:tcW w:w="2198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D76B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Пример</w:t>
            </w:r>
          </w:p>
        </w:tc>
      </w:tr>
      <w:tr w:rsidR="00EC199B" w:rsidRPr="00D76B57" w:rsidTr="00D76B57">
        <w:tc>
          <w:tcPr>
            <w:tcW w:w="2584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D76B57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Однородные члены</w:t>
            </w:r>
          </w:p>
        </w:tc>
        <w:tc>
          <w:tcPr>
            <w:tcW w:w="2283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  <w:tr w:rsidR="00EC199B" w:rsidRPr="00D76B57" w:rsidTr="00D76B57">
        <w:tc>
          <w:tcPr>
            <w:tcW w:w="2584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D76B57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Определения</w:t>
            </w:r>
          </w:p>
        </w:tc>
        <w:tc>
          <w:tcPr>
            <w:tcW w:w="2283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  <w:tr w:rsidR="00EC199B" w:rsidRPr="00D76B57" w:rsidTr="00D76B57">
        <w:tc>
          <w:tcPr>
            <w:tcW w:w="2584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D76B57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2283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  <w:tr w:rsidR="00EC199B" w:rsidRPr="00D76B57" w:rsidTr="00D76B57">
        <w:tc>
          <w:tcPr>
            <w:tcW w:w="2584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D76B57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Дополнения</w:t>
            </w:r>
          </w:p>
        </w:tc>
        <w:tc>
          <w:tcPr>
            <w:tcW w:w="2283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  <w:tr w:rsidR="00EC199B" w:rsidRPr="00D76B57" w:rsidTr="00D76B57">
        <w:tc>
          <w:tcPr>
            <w:tcW w:w="2584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D76B57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Обстоятельства</w:t>
            </w:r>
          </w:p>
        </w:tc>
        <w:tc>
          <w:tcPr>
            <w:tcW w:w="2283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EC199B" w:rsidRPr="00BD371E" w:rsidRDefault="00EC199B" w:rsidP="00BD371E">
      <w:pPr>
        <w:rPr>
          <w:rFonts w:ascii="Times New Roman" w:hAnsi="Times New Roman" w:cs="Times New Roman"/>
          <w:sz w:val="28"/>
          <w:szCs w:val="28"/>
        </w:rPr>
      </w:pPr>
    </w:p>
    <w:sectPr w:rsidR="00EC199B" w:rsidRPr="00BD3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4A"/>
    <w:rsid w:val="000C324A"/>
    <w:rsid w:val="00BD371E"/>
    <w:rsid w:val="00D76B57"/>
    <w:rsid w:val="00EC199B"/>
    <w:rsid w:val="00E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54B4"/>
  <w15:chartTrackingRefBased/>
  <w15:docId w15:val="{E83737BE-01C6-4C28-90F9-30ECAA2E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EC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2020-05-21T05:04:00Z</dcterms:created>
  <dcterms:modified xsi:type="dcterms:W3CDTF">2020-05-21T05:30:00Z</dcterms:modified>
</cp:coreProperties>
</file>